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B82CC3">
        <w:rPr>
          <w:rFonts w:ascii="Calibri" w:hAnsi="Calibri" w:cs="Arial"/>
          <w:b/>
          <w:bCs/>
          <w:iCs/>
          <w:color w:val="7F7F7F" w:themeColor="text1" w:themeTint="80"/>
          <w:sz w:val="26"/>
          <w:szCs w:val="26"/>
        </w:rPr>
        <w:t>1</w:t>
      </w:r>
      <w:r w:rsidR="004B6431">
        <w:rPr>
          <w:rFonts w:ascii="Calibri" w:hAnsi="Calibri" w:cs="Arial"/>
          <w:b/>
          <w:bCs/>
          <w:iCs/>
          <w:color w:val="7F7F7F" w:themeColor="text1" w:themeTint="80"/>
          <w:sz w:val="26"/>
          <w:szCs w:val="26"/>
        </w:rPr>
        <w:t>5</w:t>
      </w:r>
      <w:r w:rsidR="00B82CC3">
        <w:rPr>
          <w:rFonts w:ascii="Calibri" w:hAnsi="Calibri" w:cs="Arial"/>
          <w:b/>
          <w:bCs/>
          <w:iCs/>
          <w:color w:val="7F7F7F" w:themeColor="text1" w:themeTint="80"/>
          <w:sz w:val="26"/>
          <w:szCs w:val="26"/>
        </w:rPr>
        <w:t xml:space="preserve"> </w:t>
      </w:r>
      <w:r w:rsidR="004B6431">
        <w:rPr>
          <w:rFonts w:ascii="Calibri" w:hAnsi="Calibri" w:cs="Arial"/>
          <w:b/>
          <w:bCs/>
          <w:iCs/>
          <w:color w:val="7F7F7F" w:themeColor="text1" w:themeTint="80"/>
          <w:sz w:val="26"/>
          <w:szCs w:val="26"/>
        </w:rPr>
        <w:t>quin</w:t>
      </w:r>
      <w:r w:rsidR="00B82CC3">
        <w:rPr>
          <w:rFonts w:ascii="Calibri" w:hAnsi="Calibri" w:cs="Arial"/>
          <w:b/>
          <w:bCs/>
          <w:iCs/>
          <w:color w:val="7F7F7F" w:themeColor="text1" w:themeTint="80"/>
          <w:sz w:val="26"/>
          <w:szCs w:val="26"/>
        </w:rPr>
        <w:t>ce</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E1F7A">
        <w:rPr>
          <w:rFonts w:ascii="Calibri" w:hAnsi="Calibri" w:cs="Arial"/>
          <w:bCs/>
          <w:iCs/>
          <w:color w:val="7F7F7F" w:themeColor="text1" w:themeTint="80"/>
          <w:sz w:val="26"/>
          <w:szCs w:val="26"/>
        </w:rPr>
        <w:t xml:space="preserve"> .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B82CC3">
        <w:rPr>
          <w:rFonts w:ascii="Calibri" w:hAnsi="Calibri" w:cs="Arial"/>
          <w:b/>
          <w:color w:val="7F7F7F" w:themeColor="text1" w:themeTint="80"/>
          <w:sz w:val="26"/>
          <w:szCs w:val="26"/>
        </w:rPr>
        <w:t>536/2015-JN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DD64B6">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w:t>
      </w:r>
      <w:r w:rsidR="004B6431">
        <w:rPr>
          <w:rFonts w:ascii="Calibri" w:hAnsi="Calibri" w:cs="Arial"/>
          <w:color w:val="7F7F7F" w:themeColor="text1" w:themeTint="80"/>
          <w:sz w:val="26"/>
          <w:szCs w:val="26"/>
        </w:rPr>
        <w:t xml:space="preserve">.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B82CC3">
        <w:rPr>
          <w:rFonts w:ascii="Calibri" w:hAnsi="Calibri" w:cs="Arial"/>
          <w:color w:val="7F7F7F" w:themeColor="text1" w:themeTint="80"/>
          <w:sz w:val="26"/>
          <w:szCs w:val="26"/>
        </w:rPr>
        <w:t>28 veintiocho de mayo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r w:rsidR="00C56858">
        <w:rPr>
          <w:rFonts w:ascii="Calibri" w:hAnsi="Calibri"/>
          <w:color w:val="7F7F7F" w:themeColor="text1" w:themeTint="80"/>
          <w:sz w:val="26"/>
          <w:szCs w:val="26"/>
        </w:rPr>
        <w:t>.</w:t>
      </w:r>
    </w:p>
    <w:p w:rsidR="004B3DFC" w:rsidRPr="00BF5CA7" w:rsidRDefault="004B3DFC" w:rsidP="004B3DFC">
      <w:pPr>
        <w:jc w:val="both"/>
        <w:rPr>
          <w:rFonts w:ascii="Calibri" w:hAnsi="Calibri"/>
          <w:b/>
          <w:i/>
          <w:iCs/>
          <w:color w:val="7F7F7F" w:themeColor="text1" w:themeTint="80"/>
          <w:sz w:val="26"/>
          <w:szCs w:val="26"/>
        </w:rPr>
      </w:pPr>
    </w:p>
    <w:p w:rsidR="00C56858" w:rsidRDefault="004B3DFC" w:rsidP="00C56858">
      <w:pPr>
        <w:ind w:firstLine="708"/>
        <w:jc w:val="both"/>
        <w:rPr>
          <w:rFonts w:ascii="Calibri" w:hAnsi="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B82CC3">
        <w:rPr>
          <w:rFonts w:ascii="Calibri" w:hAnsi="Calibri" w:cs="Calibri"/>
          <w:color w:val="7F7F7F" w:themeColor="text1" w:themeTint="80"/>
          <w:sz w:val="26"/>
          <w:szCs w:val="26"/>
        </w:rPr>
        <w:t>28 veintiocho de mayo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B82CC3">
        <w:rPr>
          <w:rFonts w:ascii="Calibri" w:hAnsi="Calibri"/>
          <w:color w:val="7F7F7F" w:themeColor="text1" w:themeTint="80"/>
          <w:sz w:val="26"/>
          <w:szCs w:val="26"/>
        </w:rPr>
        <w:t>0321</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expediente, en copias certificadas, a fojas </w:t>
      </w:r>
      <w:r w:rsidR="00871752">
        <w:rPr>
          <w:rFonts w:ascii="Calibri" w:hAnsi="Calibri" w:cs="Calibri"/>
          <w:color w:val="7F7F7F" w:themeColor="text1" w:themeTint="80"/>
          <w:sz w:val="26"/>
          <w:szCs w:val="26"/>
        </w:rPr>
        <w:t>4 cuatro</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871752">
        <w:rPr>
          <w:rFonts w:ascii="Calibri" w:hAnsi="Calibri" w:cs="Calibri"/>
          <w:color w:val="7F7F7F" w:themeColor="text1" w:themeTint="80"/>
          <w:sz w:val="26"/>
          <w:szCs w:val="26"/>
        </w:rPr>
        <w:t>0</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871752">
        <w:rPr>
          <w:rFonts w:ascii="Calibri" w:hAnsi="Calibri" w:cs="Calibri"/>
          <w:color w:val="7F7F7F" w:themeColor="text1" w:themeTint="80"/>
          <w:sz w:val="26"/>
          <w:szCs w:val="26"/>
        </w:rPr>
        <w:t>iez</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 xml:space="preserve">merecen </w:t>
      </w:r>
    </w:p>
    <w:p w:rsidR="00C56858" w:rsidRDefault="00C56858" w:rsidP="00C56858">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536/2015-JN</w:t>
      </w:r>
    </w:p>
    <w:p w:rsidR="00C56858" w:rsidRDefault="00C56858" w:rsidP="00C56858">
      <w:pPr>
        <w:ind w:firstLine="708"/>
        <w:jc w:val="both"/>
        <w:rPr>
          <w:rFonts w:ascii="Calibri" w:hAnsi="Calibri"/>
          <w:color w:val="7F7F7F" w:themeColor="text1" w:themeTint="80"/>
          <w:sz w:val="26"/>
          <w:szCs w:val="26"/>
        </w:rPr>
      </w:pPr>
    </w:p>
    <w:p w:rsidR="004B3DFC" w:rsidRPr="00C56858" w:rsidRDefault="004B3DFC" w:rsidP="00C56858">
      <w:pPr>
        <w:jc w:val="both"/>
        <w:rPr>
          <w:rFonts w:ascii="Calibri" w:hAnsi="Calibri"/>
          <w:color w:val="7F7F7F" w:themeColor="text1" w:themeTint="80"/>
          <w:sz w:val="26"/>
          <w:szCs w:val="26"/>
        </w:rPr>
      </w:pPr>
      <w:r w:rsidRPr="00BF5CA7">
        <w:rPr>
          <w:rFonts w:ascii="Calibri" w:hAnsi="Calibri"/>
          <w:color w:val="7F7F7F" w:themeColor="text1" w:themeTint="80"/>
          <w:sz w:val="26"/>
          <w:szCs w:val="26"/>
        </w:rPr>
        <w:t>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 . . . . . . . . . . . . . . . .</w:t>
      </w:r>
      <w:r w:rsidR="00C56858">
        <w:rPr>
          <w:rFonts w:ascii="Calibri" w:hAnsi="Calibri"/>
          <w:color w:val="7F7F7F" w:themeColor="text1" w:themeTint="80"/>
          <w:sz w:val="26"/>
          <w:szCs w:val="26"/>
        </w:rPr>
        <w:t xml:space="preserve"> . .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r w:rsidRPr="00BF5CA7">
        <w:rPr>
          <w:rFonts w:ascii="Calibri" w:hAnsi="Calibri"/>
          <w:bCs/>
          <w:iCs/>
          <w:color w:val="7F7F7F" w:themeColor="text1" w:themeTint="80"/>
          <w:sz w:val="26"/>
          <w:szCs w:val="26"/>
        </w:rPr>
        <w:lastRenderedPageBreak/>
        <w:t>y Justicia Administrativa  para el Estado y los Municipios de  Guanajuato; ya que 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Asentado lo anterior, se advierte que en el presente proceso, el Director General de Fiscalización y Control e Inspector demandados, exteriorizaron que el proceso es improcedente; aduciendo que se actualiza las causales previstas en el artículo 261, en sus fracciones I y VII, esta última concatenada con el artículo 251, del Código de Procedimiento y Justicia Administrativa antes citado; al referir, grosso modo, que no se afecta el interés jurídico de la impetrante, toda vez que no demuestra ser titular de un derecho subjetivo y que no le asiste ningún derecho que haya sido vulnerado . . . . . . . . . . . . . . . . . . . . . . . . . . . . . . . . . . </w:t>
      </w:r>
      <w:r w:rsidR="00726C1E">
        <w:rPr>
          <w:rFonts w:ascii="Calibri" w:hAnsi="Calibri"/>
          <w:bCs/>
          <w:iCs/>
          <w:color w:val="7F7F7F" w:themeColor="text1" w:themeTint="80"/>
          <w:sz w:val="26"/>
          <w:szCs w:val="26"/>
        </w:rPr>
        <w:t xml:space="preserve">.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 la impetrante; toda vez que se instauró en su contra, por la Dirección General de Fiscalización y Control, el procedimiento administrativo número DGFC/DT/</w:t>
      </w:r>
      <w:r w:rsidR="00B82CC3">
        <w:rPr>
          <w:rFonts w:ascii="Calibri" w:hAnsi="Calibri"/>
          <w:bCs/>
          <w:iCs/>
          <w:color w:val="7F7F7F" w:themeColor="text1" w:themeTint="80"/>
          <w:sz w:val="26"/>
          <w:szCs w:val="26"/>
        </w:rPr>
        <w:t>0321</w:t>
      </w:r>
      <w:r w:rsidRPr="00781737">
        <w:rPr>
          <w:rFonts w:ascii="Calibri" w:hAnsi="Calibri"/>
          <w:bCs/>
          <w:iCs/>
          <w:color w:val="7F7F7F" w:themeColor="text1" w:themeTint="80"/>
          <w:sz w:val="26"/>
          <w:szCs w:val="26"/>
        </w:rPr>
        <w:t xml:space="preserve">/2015/JA, </w:t>
      </w:r>
      <w:r w:rsidR="0028391D" w:rsidRPr="00781737">
        <w:rPr>
          <w:rFonts w:ascii="Calibri" w:hAnsi="Calibri"/>
          <w:bCs/>
          <w:iCs/>
          <w:color w:val="7F7F7F" w:themeColor="text1" w:themeTint="80"/>
          <w:sz w:val="26"/>
          <w:szCs w:val="26"/>
        </w:rPr>
        <w:t>mismo en el que</w:t>
      </w:r>
      <w:r w:rsidR="0028391D">
        <w:rPr>
          <w:rFonts w:ascii="Calibri" w:hAnsi="Calibri"/>
          <w:bCs/>
          <w:iCs/>
          <w:color w:val="7F7F7F" w:themeColor="text1" w:themeTint="80"/>
          <w:sz w:val="26"/>
          <w:szCs w:val="26"/>
        </w:rPr>
        <w:t>,</w:t>
      </w:r>
      <w:r w:rsidR="0028391D" w:rsidRPr="00781737">
        <w:rPr>
          <w:rFonts w:ascii="Calibri" w:hAnsi="Calibri"/>
          <w:bCs/>
          <w:iCs/>
          <w:color w:val="7F7F7F" w:themeColor="text1" w:themeTint="80"/>
          <w:sz w:val="26"/>
          <w:szCs w:val="26"/>
        </w:rPr>
        <w:t xml:space="preserve"> eventualmente, podría imponérsele alguna sanción, </w:t>
      </w:r>
      <w:r w:rsidRPr="00781737">
        <w:rPr>
          <w:rFonts w:ascii="Calibri" w:hAnsi="Calibri"/>
          <w:bCs/>
          <w:iCs/>
          <w:color w:val="7F7F7F" w:themeColor="text1" w:themeTint="80"/>
          <w:sz w:val="26"/>
          <w:szCs w:val="26"/>
        </w:rPr>
        <w:t xml:space="preserve">además de que se clausuró una máquina de juegos de azar que se encontraba al interior del establecimiento visitado, lo que sí afecta la esfera de derechos de la actora,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causales de improcedencia señaladas, ésta sí se encuentra legitimada para promover el proceso que nos ocupa. . . . . . . . . . . . . . . .</w:t>
      </w:r>
      <w:r w:rsidR="00726C1E">
        <w:rPr>
          <w:rFonts w:ascii="Calibri" w:hAnsi="Calibri"/>
          <w:bCs/>
          <w:iCs/>
          <w:color w:val="7F7F7F" w:themeColor="text1" w:themeTint="80"/>
          <w:sz w:val="26"/>
          <w:szCs w:val="26"/>
        </w:rPr>
        <w:t xml:space="preserve">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E50512">
        <w:rPr>
          <w:rFonts w:ascii="Calibri" w:hAnsi="Calibri"/>
          <w:b/>
          <w:bCs/>
          <w:iCs/>
          <w:color w:val="7F7F7F" w:themeColor="text1" w:themeTint="80"/>
          <w:sz w:val="26"/>
          <w:szCs w:val="26"/>
        </w:rPr>
        <w:t>es procedente</w:t>
      </w:r>
      <w:r w:rsidRPr="00E50512">
        <w:rPr>
          <w:rFonts w:ascii="Calibri" w:hAnsi="Calibri"/>
          <w:bCs/>
          <w:iCs/>
          <w:color w:val="7F7F7F" w:themeColor="text1" w:themeTint="80"/>
          <w:sz w:val="26"/>
          <w:szCs w:val="26"/>
        </w:rPr>
        <w:t xml:space="preserve"> el presente proceso respecto de esos actos administrativos. . . . . . . . . . . .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726C1E">
        <w:rPr>
          <w:rFonts w:ascii="Calibri" w:hAnsi="Calibri" w:cs="Arial"/>
          <w:color w:val="7F7F7F" w:themeColor="text1" w:themeTint="80"/>
          <w:sz w:val="26"/>
          <w:szCs w:val="26"/>
        </w:rPr>
        <w:t>. . . . . . . . . . . .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B82CC3">
        <w:rPr>
          <w:rFonts w:ascii="Calibri" w:hAnsi="Calibri"/>
          <w:color w:val="7F7F7F" w:themeColor="text1" w:themeTint="80"/>
          <w:sz w:val="26"/>
          <w:szCs w:val="26"/>
        </w:rPr>
        <w:t>28 veintiocho de mayo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t>DGFC/DT/</w:t>
      </w:r>
      <w:r w:rsidR="00B82CC3">
        <w:rPr>
          <w:rFonts w:ascii="Calibri" w:hAnsi="Calibri"/>
          <w:color w:val="7F7F7F" w:themeColor="text1" w:themeTint="80"/>
          <w:sz w:val="26"/>
          <w:szCs w:val="26"/>
        </w:rPr>
        <w:t>0321</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w:t>
      </w:r>
      <w:r w:rsidRPr="00BF5CA7">
        <w:rPr>
          <w:rFonts w:ascii="Calibri" w:hAnsi="Calibri"/>
          <w:color w:val="7F7F7F" w:themeColor="text1" w:themeTint="80"/>
          <w:sz w:val="26"/>
          <w:szCs w:val="26"/>
        </w:rPr>
        <w:lastRenderedPageBreak/>
        <w:t xml:space="preserve">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D4766E">
        <w:rPr>
          <w:rFonts w:ascii="Calibri" w:hAnsi="Calibri"/>
          <w:color w:val="7F7F7F" w:themeColor="text1" w:themeTint="80"/>
          <w:sz w:val="26"/>
          <w:szCs w:val="26"/>
        </w:rPr>
        <w:t>el</w:t>
      </w:r>
      <w:r w:rsidR="00A02F6E">
        <w:rPr>
          <w:rFonts w:ascii="Calibri" w:hAnsi="Calibri"/>
          <w:color w:val="7F7F7F" w:themeColor="text1" w:themeTint="80"/>
          <w:sz w:val="26"/>
          <w:szCs w:val="26"/>
        </w:rPr>
        <w:t xml:space="preserve"> inspector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DD64B6">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en el domicilio </w:t>
      </w:r>
      <w:r w:rsidR="00DD64B6">
        <w:rPr>
          <w:rFonts w:ascii="Calibri" w:hAnsi="Calibri"/>
          <w:color w:val="7F7F7F" w:themeColor="text1" w:themeTint="80"/>
          <w:sz w:val="26"/>
          <w:szCs w:val="26"/>
        </w:rPr>
        <w:t>*****</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 . . . . . . . . . . . . . . . .</w:t>
      </w:r>
      <w:r w:rsidR="00726C1E">
        <w:rPr>
          <w:rFonts w:ascii="Calibri" w:hAnsi="Calibri"/>
          <w:color w:val="7F7F7F" w:themeColor="text1" w:themeTint="80"/>
          <w:sz w:val="26"/>
          <w:szCs w:val="26"/>
        </w:rPr>
        <w:t xml:space="preserve">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r w:rsidR="00726C1E">
        <w:rPr>
          <w:rFonts w:ascii="Calibri" w:hAnsi="Calibri"/>
          <w:color w:val="7F7F7F" w:themeColor="text1" w:themeTint="80"/>
          <w:sz w:val="26"/>
          <w:szCs w:val="26"/>
        </w:rPr>
        <w:t xml:space="preserve">.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AE3E7D"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 </w:t>
      </w:r>
      <w:r w:rsidR="00EC7D6A">
        <w:rPr>
          <w:rFonts w:ascii="Calibri" w:hAnsi="Calibri" w:cs="Calibri"/>
          <w:iCs/>
          <w:color w:val="7F7F7F" w:themeColor="text1" w:themeTint="80"/>
          <w:sz w:val="26"/>
          <w:szCs w:val="26"/>
        </w:rPr>
        <w:t xml:space="preserve">contestaron que era legal el procedimiento elaborado y que la actora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w:t>
      </w:r>
    </w:p>
    <w:p w:rsidR="00726C1E" w:rsidRPr="00BF5CA7" w:rsidRDefault="00726C1E" w:rsidP="004B3DFC">
      <w:pPr>
        <w:pStyle w:val="Textoindependiente"/>
        <w:tabs>
          <w:tab w:val="left" w:pos="3594"/>
        </w:tabs>
        <w:rPr>
          <w:rFonts w:ascii="Calibri" w:hAnsi="Calibri" w:cs="Calibri"/>
          <w:iCs/>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B82CC3">
        <w:rPr>
          <w:rFonts w:ascii="Calibri" w:hAnsi="Calibri"/>
          <w:color w:val="7F7F7F" w:themeColor="text1" w:themeTint="80"/>
          <w:sz w:val="26"/>
          <w:szCs w:val="26"/>
        </w:rPr>
        <w:t>28 veintiocho de mayo</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B82CC3">
        <w:rPr>
          <w:rFonts w:ascii="Calibri" w:hAnsi="Calibri"/>
          <w:color w:val="7F7F7F" w:themeColor="text1" w:themeTint="80"/>
          <w:sz w:val="26"/>
          <w:szCs w:val="26"/>
        </w:rPr>
        <w:t>0321</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246A6C" w:rsidRDefault="00246A6C" w:rsidP="004B3DFC">
      <w:pPr>
        <w:ind w:firstLine="708"/>
        <w:jc w:val="both"/>
        <w:rPr>
          <w:rFonts w:ascii="Calibri" w:hAnsi="Calibri" w:cs="Arial"/>
          <w:b/>
          <w:bCs/>
          <w:i/>
          <w:iCs/>
          <w:color w:val="7F7F7F" w:themeColor="text1" w:themeTint="80"/>
          <w:sz w:val="26"/>
          <w:szCs w:val="26"/>
        </w:rPr>
      </w:pPr>
    </w:p>
    <w:p w:rsidR="00246A6C" w:rsidRDefault="00246A6C" w:rsidP="00246A6C">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536/2015-JN</w:t>
      </w:r>
    </w:p>
    <w:p w:rsidR="00246A6C" w:rsidRDefault="00246A6C" w:rsidP="004B3DFC">
      <w:pPr>
        <w:ind w:firstLine="708"/>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p>
    <w:p w:rsidR="00D77803" w:rsidRDefault="00D77803" w:rsidP="00246A6C">
      <w:pPr>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w:t>
      </w:r>
      <w:r w:rsidRPr="00BF5CA7">
        <w:rPr>
          <w:rFonts w:ascii="Calibri" w:hAnsi="Calibri"/>
          <w:color w:val="7F7F7F" w:themeColor="text1" w:themeTint="80"/>
          <w:sz w:val="26"/>
          <w:szCs w:val="26"/>
        </w:rPr>
        <w:lastRenderedPageBreak/>
        <w:t xml:space="preserve">(visible a foja </w:t>
      </w:r>
      <w:r w:rsidR="00B82CC3">
        <w:rPr>
          <w:rFonts w:ascii="Calibri" w:hAnsi="Calibri"/>
          <w:color w:val="7F7F7F" w:themeColor="text1" w:themeTint="80"/>
          <w:sz w:val="26"/>
          <w:szCs w:val="26"/>
        </w:rPr>
        <w:t>1 uno</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 . . . . . . . . . . . . . . . . . . . . .</w:t>
      </w:r>
      <w:r w:rsidR="009003B0">
        <w:rPr>
          <w:rFonts w:ascii="Calibri" w:hAnsi="Calibri"/>
          <w:color w:val="7F7F7F" w:themeColor="text1" w:themeTint="80"/>
          <w:sz w:val="26"/>
          <w:szCs w:val="26"/>
        </w:rPr>
        <w:t xml:space="preserve">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w:t>
      </w:r>
      <w:r w:rsidR="00CF7B38" w:rsidRPr="006071F6">
        <w:rPr>
          <w:rFonts w:ascii="Calibri" w:hAnsi="Calibri"/>
          <w:color w:val="7F7F7F" w:themeColor="text1" w:themeTint="80"/>
          <w:sz w:val="26"/>
          <w:szCs w:val="26"/>
        </w:rPr>
        <w:t>al infringir</w:t>
      </w:r>
      <w:r w:rsidR="00644D4B">
        <w:rPr>
          <w:rFonts w:ascii="Calibri" w:hAnsi="Calibri"/>
          <w:color w:val="7F7F7F" w:themeColor="text1" w:themeTint="80"/>
          <w:sz w:val="26"/>
          <w:szCs w:val="26"/>
        </w:rPr>
        <w:t>se</w:t>
      </w:r>
      <w:r w:rsidR="00CF7B38" w:rsidRPr="006071F6">
        <w:rPr>
          <w:rFonts w:ascii="Calibri" w:hAnsi="Calibri"/>
          <w:color w:val="7F7F7F" w:themeColor="text1" w:themeTint="80"/>
          <w:sz w:val="26"/>
          <w:szCs w:val="26"/>
        </w:rPr>
        <w:t xml:space="preserve"> el artículo 67 fracción IX</w:t>
      </w:r>
      <w:r w:rsidR="00644D4B">
        <w:rPr>
          <w:rFonts w:ascii="Calibri" w:hAnsi="Calibri"/>
          <w:color w:val="7F7F7F" w:themeColor="text1" w:themeTint="80"/>
          <w:sz w:val="26"/>
          <w:szCs w:val="26"/>
        </w:rPr>
        <w:t>, del Reglamento para el Funcionamiento de Establecimientos Comerciales y de Servicios en el Municipio de León, Guanajuato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r w:rsidR="00644D4B">
        <w:rPr>
          <w:rFonts w:ascii="Calibri" w:hAnsi="Calibri"/>
          <w:i/>
          <w:iCs/>
          <w:color w:val="7F7F7F" w:themeColor="text1" w:themeTint="80"/>
          <w:sz w:val="26"/>
          <w:szCs w:val="26"/>
        </w:rPr>
        <w:t xml:space="preserve">. . . . </w:t>
      </w:r>
    </w:p>
    <w:p w:rsidR="00E959B2" w:rsidRPr="00644D4B" w:rsidRDefault="00E959B2" w:rsidP="00E959B2">
      <w:pPr>
        <w:pStyle w:val="Sangra3detindependiente"/>
        <w:ind w:left="0"/>
        <w:jc w:val="both"/>
        <w:rPr>
          <w:rFonts w:ascii="Calibri" w:hAnsi="Calibri"/>
          <w:color w:val="7F7F7F" w:themeColor="text1" w:themeTint="80"/>
          <w:sz w:val="26"/>
          <w:szCs w:val="26"/>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r w:rsidR="008403EB">
        <w:rPr>
          <w:rFonts w:asciiTheme="minorHAnsi" w:hAnsiTheme="minorHAnsi"/>
          <w:color w:val="767171" w:themeColor="background2" w:themeShade="80"/>
          <w:sz w:val="26"/>
          <w:szCs w:val="26"/>
        </w:rPr>
        <w:t>. . . . . . . . .</w:t>
      </w:r>
    </w:p>
    <w:p w:rsidR="00DB641E" w:rsidRDefault="00DB641E" w:rsidP="00CA2C14">
      <w:pPr>
        <w:pStyle w:val="Default"/>
        <w:jc w:val="both"/>
        <w:rPr>
          <w:rFonts w:asciiTheme="minorHAnsi" w:hAnsiTheme="minorHAnsi"/>
          <w:color w:val="7F7F7F" w:themeColor="text1" w:themeTint="80"/>
          <w:sz w:val="26"/>
          <w:szCs w:val="26"/>
        </w:rPr>
      </w:pPr>
    </w:p>
    <w:p w:rsidR="00343E70" w:rsidRDefault="00706056" w:rsidP="00A8545F">
      <w:pPr>
        <w:pStyle w:val="Default"/>
        <w:ind w:firstLine="708"/>
        <w:jc w:val="both"/>
        <w:rPr>
          <w:rFonts w:ascii="Calibri" w:hAnsi="Calibri" w:cs="Calibri"/>
          <w:bCs/>
          <w:iCs/>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salvo que existiera una convenio de coordinación y colaboración, lo que en la especie no se presenta, pues el Director enjuiciado no aportó ningún medio de prueba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8403EB">
        <w:rPr>
          <w:rFonts w:ascii="Calibri" w:hAnsi="Calibri" w:cs="Calibri"/>
          <w:bCs/>
          <w:iCs/>
          <w:color w:val="767171" w:themeColor="background2" w:themeShade="80"/>
          <w:sz w:val="26"/>
          <w:szCs w:val="26"/>
        </w:rPr>
        <w:t xml:space="preserve">. . . . </w:t>
      </w:r>
    </w:p>
    <w:p w:rsidR="008403EB" w:rsidRPr="00A8545F" w:rsidRDefault="008403EB" w:rsidP="00A8545F">
      <w:pPr>
        <w:pStyle w:val="Default"/>
        <w:ind w:firstLine="708"/>
        <w:jc w:val="both"/>
        <w:rPr>
          <w:rFonts w:asciiTheme="minorHAnsi" w:hAnsiTheme="minorHAnsi"/>
          <w:color w:val="FF0000"/>
          <w:sz w:val="26"/>
          <w:szCs w:val="26"/>
        </w:rPr>
      </w:pPr>
    </w:p>
    <w:p w:rsidR="00833B37" w:rsidRDefault="00833B37" w:rsidP="00833B37">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 xml:space="preserve">Expediente número </w:t>
      </w:r>
      <w:r w:rsidR="00B82CC3">
        <w:rPr>
          <w:rFonts w:ascii="Calibri" w:hAnsi="Calibri" w:cs="Calibri"/>
          <w:b/>
          <w:color w:val="7F7F7F" w:themeColor="text1" w:themeTint="80"/>
          <w:sz w:val="26"/>
          <w:szCs w:val="26"/>
        </w:rPr>
        <w:t>536/2015-JN</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w:t>
      </w:r>
      <w:r w:rsidRPr="00521436">
        <w:rPr>
          <w:rFonts w:ascii="Calibri" w:hAnsi="Calibri" w:cs="Calibri"/>
          <w:bCs/>
          <w:iCs/>
          <w:color w:val="7F7F7F" w:themeColor="text1" w:themeTint="80"/>
          <w:sz w:val="26"/>
          <w:szCs w:val="26"/>
        </w:rPr>
        <w:lastRenderedPageBreak/>
        <w:t xml:space="preserve">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8403EB">
        <w:rPr>
          <w:rFonts w:ascii="Calibri" w:hAnsi="Calibri" w:cs="Calibri"/>
          <w:bCs/>
          <w:iCs/>
          <w:color w:val="7F7F7F" w:themeColor="text1" w:themeTint="80"/>
          <w:sz w:val="26"/>
          <w:szCs w:val="26"/>
        </w:rPr>
        <w:t xml:space="preserve">.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8403EB">
        <w:rPr>
          <w:rFonts w:ascii="Calibri" w:hAnsi="Calibri" w:cs="Calibri"/>
          <w:b w:val="0"/>
          <w:bCs w:val="0"/>
          <w:iCs/>
          <w:color w:val="7F7F7F" w:themeColor="text1" w:themeTint="80"/>
          <w:sz w:val="26"/>
          <w:szCs w:val="26"/>
          <w:lang w:val="es-MX"/>
        </w:rPr>
        <w:t xml:space="preserve">. . . . . . . . . . . . . . . .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8403EB" w:rsidP="009661F2">
      <w:pPr>
        <w:pStyle w:val="CABEZAS"/>
        <w:tabs>
          <w:tab w:val="left" w:pos="1134"/>
        </w:tabs>
        <w:jc w:val="both"/>
        <w:rPr>
          <w:rFonts w:asciiTheme="minorHAnsi" w:hAnsiTheme="minorHAnsi" w:cs="Arial"/>
          <w:b w:val="0"/>
          <w:color w:val="767171" w:themeColor="background2" w:themeShade="80"/>
          <w:sz w:val="26"/>
          <w:szCs w:val="26"/>
          <w:lang w:val="es-MX"/>
        </w:rPr>
      </w:pPr>
      <w:r>
        <w:rPr>
          <w:rFonts w:ascii="Calibri" w:hAnsi="Calibri" w:cs="Calibri"/>
          <w:b w:val="0"/>
          <w:bCs w:val="0"/>
          <w:iCs/>
          <w:color w:val="767171" w:themeColor="background2" w:themeShade="80"/>
          <w:sz w:val="26"/>
          <w:szCs w:val="26"/>
          <w:lang w:val="es-MX"/>
        </w:rPr>
        <w:t xml:space="preserve">             </w:t>
      </w:r>
      <w:r w:rsidR="003D0B6B" w:rsidRPr="009661F2">
        <w:rPr>
          <w:rFonts w:ascii="Calibri" w:hAnsi="Calibri" w:cs="Calibri"/>
          <w:b w:val="0"/>
          <w:bCs w:val="0"/>
          <w:iCs/>
          <w:color w:val="767171" w:themeColor="background2" w:themeShade="80"/>
          <w:sz w:val="26"/>
          <w:szCs w:val="26"/>
          <w:lang w:val="es-MX"/>
        </w:rPr>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003D0B6B"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w:t>
      </w:r>
      <w:r w:rsidR="00F54858" w:rsidRPr="00833B37">
        <w:rPr>
          <w:rFonts w:ascii="Calibri" w:hAnsi="Calibri" w:cs="Calibri"/>
          <w:bCs/>
          <w:color w:val="767171" w:themeColor="background2" w:themeShade="80"/>
          <w:sz w:val="26"/>
          <w:szCs w:val="26"/>
        </w:rPr>
        <w:lastRenderedPageBreak/>
        <w:t xml:space="preserve">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B82CC3">
        <w:rPr>
          <w:rFonts w:ascii="Calibri" w:hAnsi="Calibri"/>
          <w:b/>
          <w:color w:val="7F7F7F" w:themeColor="text1" w:themeTint="80"/>
          <w:sz w:val="26"/>
          <w:szCs w:val="26"/>
        </w:rPr>
        <w:t xml:space="preserve">28 </w:t>
      </w:r>
      <w:r w:rsidR="00B82CC3" w:rsidRPr="0028391D">
        <w:rPr>
          <w:rFonts w:ascii="Calibri" w:hAnsi="Calibri"/>
          <w:color w:val="7F7F7F" w:themeColor="text1" w:themeTint="80"/>
          <w:sz w:val="26"/>
          <w:szCs w:val="26"/>
        </w:rPr>
        <w:t>veintiocho de</w:t>
      </w:r>
      <w:r w:rsidR="00B82CC3">
        <w:rPr>
          <w:rFonts w:ascii="Calibri" w:hAnsi="Calibri"/>
          <w:b/>
          <w:color w:val="7F7F7F" w:themeColor="text1" w:themeTint="80"/>
          <w:sz w:val="26"/>
          <w:szCs w:val="26"/>
        </w:rPr>
        <w:t xml:space="preserve"> mayo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B82CC3">
        <w:rPr>
          <w:rFonts w:ascii="Calibri" w:hAnsi="Calibri"/>
          <w:b/>
          <w:color w:val="7F7F7F" w:themeColor="text1" w:themeTint="80"/>
          <w:sz w:val="26"/>
          <w:szCs w:val="26"/>
        </w:rPr>
        <w:t>0321</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w:t>
      </w:r>
      <w:r w:rsidR="00FC2859">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8403EB">
        <w:rPr>
          <w:rFonts w:ascii="Calibri" w:hAnsi="Calibri"/>
          <w:color w:val="7F7F7F" w:themeColor="text1" w:themeTint="80"/>
          <w:sz w:val="26"/>
          <w:szCs w:val="27"/>
        </w:rPr>
        <w:t xml:space="preserve">. . . . . . . . . . . . . . . . . . . . . . . . .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r w:rsidR="008403EB">
        <w:rPr>
          <w:rFonts w:ascii="Calibri" w:hAnsi="Calibri" w:cs="Calibri"/>
          <w:bCs/>
          <w:iCs/>
          <w:color w:val="7F7F7F" w:themeColor="text1" w:themeTint="80"/>
          <w:sz w:val="26"/>
          <w:szCs w:val="26"/>
        </w:rPr>
        <w:t xml:space="preserve"> .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r w:rsidR="008403EB">
        <w:rPr>
          <w:rFonts w:ascii="Calibri" w:hAnsi="Calibri"/>
          <w:color w:val="7F7F7F" w:themeColor="text1" w:themeTint="80"/>
          <w:sz w:val="26"/>
          <w:szCs w:val="26"/>
          <w:lang w:eastAsia="es-MX"/>
        </w:rPr>
        <w:t>. . . . . . . .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r w:rsidR="008403EB">
        <w:rPr>
          <w:rFonts w:ascii="Calibri" w:hAnsi="Calibri"/>
          <w:color w:val="7F7F7F" w:themeColor="text1" w:themeTint="80"/>
          <w:sz w:val="22"/>
          <w:szCs w:val="26"/>
          <w:lang w:val="es-MX" w:eastAsia="es-MX"/>
        </w:rPr>
        <w:t xml:space="preserve">. .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8403EB" w:rsidRDefault="00F54858" w:rsidP="008403EB">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562F72">
        <w:rPr>
          <w:rFonts w:ascii="Calibri" w:hAnsi="Calibri" w:cs="Arial"/>
          <w:color w:val="7F7F7F" w:themeColor="text1" w:themeTint="80"/>
          <w:sz w:val="26"/>
          <w:szCs w:val="26"/>
        </w:rPr>
        <w:t>l inspector</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562F72">
        <w:rPr>
          <w:rFonts w:ascii="Calibri" w:hAnsi="Calibri" w:cs="Arial"/>
          <w:color w:val="7F7F7F" w:themeColor="text1" w:themeTint="80"/>
          <w:sz w:val="26"/>
          <w:szCs w:val="26"/>
        </w:rPr>
        <w:t>el</w:t>
      </w:r>
      <w:r w:rsidR="00A32EE2">
        <w:rPr>
          <w:rFonts w:ascii="Calibri" w:hAnsi="Calibri" w:cs="Arial"/>
          <w:color w:val="7F7F7F" w:themeColor="text1" w:themeTint="80"/>
          <w:sz w:val="26"/>
          <w:szCs w:val="26"/>
        </w:rPr>
        <w:t xml:space="preserve"> inspector demandad</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l local 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562F72">
        <w:rPr>
          <w:rFonts w:ascii="Calibri" w:hAnsi="Calibri" w:cs="Arial"/>
          <w:color w:val="7F7F7F" w:themeColor="text1" w:themeTint="80"/>
          <w:sz w:val="26"/>
          <w:szCs w:val="26"/>
        </w:rPr>
        <w:t>o</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w:t>
      </w:r>
    </w:p>
    <w:p w:rsidR="008403EB" w:rsidRDefault="008403EB" w:rsidP="008403EB">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536/2015-JN</w:t>
      </w:r>
    </w:p>
    <w:p w:rsidR="008403EB" w:rsidRDefault="008403EB" w:rsidP="008403EB">
      <w:pPr>
        <w:pStyle w:val="Textoindependiente"/>
        <w:ind w:firstLine="708"/>
        <w:rPr>
          <w:rFonts w:ascii="Calibri" w:hAnsi="Calibri" w:cs="Arial"/>
          <w:color w:val="7F7F7F" w:themeColor="text1" w:themeTint="80"/>
          <w:sz w:val="26"/>
          <w:szCs w:val="26"/>
        </w:rPr>
      </w:pPr>
    </w:p>
    <w:p w:rsidR="00A32EE2" w:rsidRDefault="00A32EE2" w:rsidP="008403EB">
      <w:pPr>
        <w:pStyle w:val="Textoindependiente"/>
        <w:rPr>
          <w:rFonts w:ascii="Calibri" w:hAnsi="Calibri" w:cs="Arial"/>
          <w:color w:val="7F7F7F" w:themeColor="text1" w:themeTint="80"/>
          <w:sz w:val="26"/>
          <w:szCs w:val="26"/>
        </w:rPr>
      </w:pPr>
      <w:r w:rsidRPr="00A32EE2">
        <w:rPr>
          <w:rFonts w:ascii="Calibri" w:hAnsi="Calibri" w:cs="Arial"/>
          <w:color w:val="7F7F7F" w:themeColor="text1" w:themeTint="80"/>
          <w:sz w:val="26"/>
          <w:szCs w:val="26"/>
        </w:rPr>
        <w:t xml:space="preserve">existe la plena convicción de que fue </w:t>
      </w:r>
      <w:r w:rsidR="00562F72">
        <w:rPr>
          <w:rFonts w:ascii="Calibri" w:hAnsi="Calibri" w:cs="Arial"/>
          <w:color w:val="7F7F7F" w:themeColor="text1" w:themeTint="80"/>
          <w:sz w:val="26"/>
          <w:szCs w:val="26"/>
        </w:rPr>
        <w:t xml:space="preserve">él </w:t>
      </w:r>
      <w:r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Pr="00A32EE2">
        <w:rPr>
          <w:rFonts w:ascii="Calibri" w:hAnsi="Calibri" w:cs="Arial"/>
          <w:color w:val="7F7F7F" w:themeColor="text1" w:themeTint="80"/>
          <w:sz w:val="26"/>
          <w:szCs w:val="26"/>
        </w:rPr>
        <w:t xml:space="preserve"> toda vez que a simple vista por los rasgos de la escritura manuscrita, se </w:t>
      </w:r>
      <w:r w:rsidRPr="00A32EE2">
        <w:rPr>
          <w:rFonts w:ascii="Calibri" w:hAnsi="Calibri" w:cs="Arial"/>
          <w:color w:val="7F7F7F" w:themeColor="text1" w:themeTint="80"/>
          <w:sz w:val="26"/>
          <w:szCs w:val="26"/>
        </w:rPr>
        <w:lastRenderedPageBreak/>
        <w:t xml:space="preserve">aprecia el mismo tipo de letra, tanto en </w:t>
      </w:r>
      <w:r>
        <w:rPr>
          <w:rFonts w:ascii="Calibri" w:hAnsi="Calibri" w:cs="Arial"/>
          <w:color w:val="7F7F7F" w:themeColor="text1" w:themeTint="80"/>
          <w:sz w:val="26"/>
          <w:szCs w:val="26"/>
        </w:rPr>
        <w:t xml:space="preserve">el acta de visita de inspección; </w:t>
      </w:r>
      <w:r w:rsidRPr="00A32EE2">
        <w:rPr>
          <w:rFonts w:ascii="Calibri" w:hAnsi="Calibri" w:cs="Arial"/>
          <w:color w:val="7F7F7F" w:themeColor="text1" w:themeTint="80"/>
          <w:sz w:val="26"/>
          <w:szCs w:val="26"/>
        </w:rPr>
        <w:t>la orden de clausura y en el acta de clausura que obran en autos de esta causa administrativa</w:t>
      </w:r>
      <w:r>
        <w:rPr>
          <w:rFonts w:ascii="Calibri" w:hAnsi="Calibri" w:cs="Arial"/>
          <w:color w:val="7F7F7F" w:themeColor="text1" w:themeTint="80"/>
          <w:sz w:val="26"/>
          <w:szCs w:val="26"/>
        </w:rPr>
        <w:t xml:space="preserve">, lo que se traduce en que no existió </w:t>
      </w:r>
      <w:r w:rsidRPr="00A32EE2">
        <w:rPr>
          <w:rFonts w:ascii="Calibri" w:hAnsi="Calibri" w:cs="Arial"/>
          <w:color w:val="7F7F7F" w:themeColor="text1" w:themeTint="80"/>
          <w:sz w:val="26"/>
          <w:szCs w:val="26"/>
        </w:rPr>
        <w:t>la voluntad del titular de la Dirección General de Fiscalización y Control, de este Municipio</w:t>
      </w:r>
      <w:r>
        <w:rPr>
          <w:rFonts w:ascii="Calibri" w:hAnsi="Calibri" w:cs="Arial"/>
          <w:color w:val="7F7F7F" w:themeColor="text1" w:themeTint="80"/>
          <w:sz w:val="26"/>
          <w:szCs w:val="26"/>
        </w:rPr>
        <w:t>, para emitir la orden de clausura</w:t>
      </w:r>
      <w:r w:rsidRPr="00A32EE2">
        <w:rPr>
          <w:rFonts w:ascii="Calibri" w:hAnsi="Calibri" w:cs="Arial"/>
          <w:color w:val="7F7F7F" w:themeColor="text1" w:themeTint="80"/>
          <w:sz w:val="26"/>
          <w:szCs w:val="26"/>
        </w:rPr>
        <w:t>.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el inspector, quien es una autoridad que</w:t>
      </w:r>
      <w:r w:rsidR="002974BB">
        <w:rPr>
          <w:rFonts w:ascii="Calibri" w:hAnsi="Calibri" w:cs="Arial"/>
          <w:color w:val="7F7F7F" w:themeColor="text1" w:themeTint="80"/>
          <w:sz w:val="26"/>
          <w:szCs w:val="26"/>
        </w:rPr>
        <w:t xml:space="preserve"> carece de facultades para ello;</w:t>
      </w:r>
      <w:r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2974BB" w:rsidRPr="009A23DB" w:rsidRDefault="002974BB" w:rsidP="0028391D">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8403EB">
        <w:rPr>
          <w:rFonts w:ascii="Calibri" w:hAnsi="Calibri" w:cs="Arial"/>
          <w:color w:val="7F7F7F" w:themeColor="text1" w:themeTint="80"/>
          <w:sz w:val="26"/>
          <w:szCs w:val="26"/>
        </w:rPr>
        <w:t xml:space="preserve">. . . . . . . . . . . . . . .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FA04C4"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p>
    <w:p w:rsidR="00B562C1" w:rsidRPr="00BF5CA7" w:rsidRDefault="00B562C1"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B82CC3">
        <w:rPr>
          <w:rFonts w:ascii="Calibri" w:hAnsi="Calibri"/>
          <w:color w:val="7F7F7F" w:themeColor="text1" w:themeTint="80"/>
          <w:sz w:val="26"/>
          <w:szCs w:val="26"/>
        </w:rPr>
        <w:t>28 veintiocho de mayo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B562C1">
        <w:rPr>
          <w:rFonts w:ascii="Calibri" w:hAnsi="Calibri"/>
          <w:color w:val="7F7F7F" w:themeColor="text1" w:themeTint="80"/>
          <w:sz w:val="26"/>
          <w:szCs w:val="26"/>
        </w:rPr>
        <w:t>. . . . . . .  . . . . . . .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140A1C" w:rsidRDefault="00140A1C" w:rsidP="004328C1">
      <w:pPr>
        <w:pStyle w:val="Textoindependiente"/>
        <w:rPr>
          <w:rFonts w:ascii="Calibri" w:hAnsi="Calibri"/>
          <w:b/>
          <w:color w:val="7F7F7F" w:themeColor="text1" w:themeTint="80"/>
          <w:sz w:val="26"/>
          <w:szCs w:val="26"/>
        </w:rPr>
      </w:pPr>
    </w:p>
    <w:p w:rsidR="004B3DFC" w:rsidRDefault="004B3DFC" w:rsidP="00FA04C4">
      <w:pPr>
        <w:pStyle w:val="Textoindependiente"/>
        <w:tabs>
          <w:tab w:val="left" w:pos="6662"/>
        </w:tabs>
        <w:ind w:firstLine="708"/>
        <w:rPr>
          <w:rFonts w:ascii="Calibri" w:hAnsi="Calibri" w:cs="Arial"/>
          <w:color w:val="7F7F7F" w:themeColor="text1" w:themeTint="80"/>
          <w:sz w:val="18"/>
          <w:szCs w:val="18"/>
        </w:rPr>
      </w:pPr>
      <w:r w:rsidRPr="00BF5CA7">
        <w:rPr>
          <w:rFonts w:ascii="Calibri" w:hAnsi="Calibri" w:cs="Arial"/>
          <w:color w:val="7F7F7F" w:themeColor="text1" w:themeTint="80"/>
          <w:sz w:val="18"/>
          <w:szCs w:val="18"/>
        </w:rPr>
        <w:tab/>
      </w: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w:t>
      </w:r>
      <w:r w:rsidRPr="00062DE6">
        <w:rPr>
          <w:rFonts w:ascii="Calibri" w:hAnsi="Calibri" w:cs="Calibri"/>
          <w:color w:val="7F7F7F" w:themeColor="text1" w:themeTint="80"/>
          <w:sz w:val="26"/>
          <w:szCs w:val="26"/>
        </w:rPr>
        <w:lastRenderedPageBreak/>
        <w:t xml:space="preserve">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DD64B6">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4328C1">
        <w:rPr>
          <w:rFonts w:ascii="Calibri" w:hAnsi="Calibri" w:cs="Arial"/>
          <w:color w:val="7F7F7F" w:themeColor="text1" w:themeTint="80"/>
          <w:sz w:val="26"/>
          <w:szCs w:val="26"/>
        </w:rPr>
        <w:t>. . . . .</w:t>
      </w:r>
      <w:r w:rsidR="00B562C1">
        <w:rPr>
          <w:rFonts w:ascii="Calibri" w:hAnsi="Calibri" w:cs="Arial"/>
          <w:color w:val="7F7F7F" w:themeColor="text1" w:themeTint="80"/>
          <w:sz w:val="26"/>
          <w:szCs w:val="26"/>
        </w:rPr>
        <w:t xml:space="preserve"> . . . . . . . . . . . . . . . . . . . . . . . . . . . . . . . . . . . . . .  . . . . . . . . . . . . . . . .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B82CC3">
        <w:rPr>
          <w:rFonts w:ascii="Calibri" w:hAnsi="Calibri"/>
          <w:b/>
          <w:color w:val="7F7F7F" w:themeColor="text1" w:themeTint="80"/>
          <w:sz w:val="26"/>
          <w:szCs w:val="26"/>
        </w:rPr>
        <w:t xml:space="preserve">28 </w:t>
      </w:r>
      <w:r w:rsidR="00B82CC3" w:rsidRPr="0028391D">
        <w:rPr>
          <w:rFonts w:ascii="Calibri" w:hAnsi="Calibri"/>
          <w:color w:val="7F7F7F" w:themeColor="text1" w:themeTint="80"/>
          <w:sz w:val="26"/>
          <w:szCs w:val="26"/>
        </w:rPr>
        <w:t>veintiocho de</w:t>
      </w:r>
      <w:r w:rsidR="00B82CC3">
        <w:rPr>
          <w:rFonts w:ascii="Calibri" w:hAnsi="Calibri"/>
          <w:b/>
          <w:color w:val="7F7F7F" w:themeColor="text1" w:themeTint="80"/>
          <w:sz w:val="26"/>
          <w:szCs w:val="26"/>
        </w:rPr>
        <w:t xml:space="preserve"> mayo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B82CC3">
        <w:rPr>
          <w:rFonts w:ascii="Calibri" w:hAnsi="Calibri"/>
          <w:b/>
          <w:color w:val="7F7F7F" w:themeColor="text1" w:themeTint="80"/>
          <w:sz w:val="26"/>
          <w:szCs w:val="26"/>
        </w:rPr>
        <w:t>0321</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 . . . . . . . . . . . . . . . . . . . . . . . . . . . . . . . . . . . . . . . . . . .</w:t>
      </w:r>
      <w:r w:rsidR="00B562C1">
        <w:rPr>
          <w:rFonts w:ascii="Calibri" w:hAnsi="Calibri" w:cs="Arial"/>
          <w:color w:val="7F7F7F" w:themeColor="text1" w:themeTint="80"/>
          <w:sz w:val="26"/>
          <w:szCs w:val="26"/>
        </w:rPr>
        <w:t xml:space="preserve">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 demandad</w:t>
      </w:r>
      <w:r w:rsidR="00656D08">
        <w:rPr>
          <w:rFonts w:ascii="Calibri" w:hAnsi="Calibri"/>
          <w:color w:val="7F7F7F" w:themeColor="text1" w:themeTint="80"/>
          <w:sz w:val="26"/>
          <w:szCs w:val="26"/>
        </w:rPr>
        <w:t>o</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B82CC3">
        <w:rPr>
          <w:rFonts w:ascii="Calibri" w:hAnsi="Calibri"/>
          <w:color w:val="7F7F7F" w:themeColor="text1" w:themeTint="80"/>
          <w:sz w:val="26"/>
          <w:szCs w:val="26"/>
        </w:rPr>
        <w:t>28 veintiocho de mayo</w:t>
      </w:r>
      <w:r w:rsidR="008E0AB6" w:rsidRPr="00BF5CA7">
        <w:rPr>
          <w:rFonts w:ascii="Calibri" w:hAnsi="Calibri"/>
          <w:color w:val="7F7F7F" w:themeColor="text1" w:themeTint="80"/>
          <w:sz w:val="26"/>
          <w:szCs w:val="26"/>
        </w:rPr>
        <w:t xml:space="preserve"> del año 2015 dos mil quince, sobre </w:t>
      </w:r>
      <w:r w:rsidR="008E0AB6" w:rsidRPr="0028391D">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28391D">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w:t>
      </w:r>
      <w:bookmarkStart w:id="0" w:name="_GoBack"/>
      <w:r w:rsidR="00DD64B6">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B562C1">
        <w:rPr>
          <w:rFonts w:ascii="Calibri" w:hAnsi="Calibri" w:cs="Calibri"/>
          <w:color w:val="7F7F7F" w:themeColor="text1" w:themeTint="80"/>
          <w:sz w:val="26"/>
          <w:szCs w:val="26"/>
        </w:rPr>
        <w:t>. . . . . . . .</w:t>
      </w:r>
      <w:r w:rsidR="00236059">
        <w:rPr>
          <w:rFonts w:ascii="Calibri" w:hAnsi="Calibri" w:cs="Calibri"/>
          <w:color w:val="7F7F7F" w:themeColor="text1" w:themeTint="80"/>
          <w:sz w:val="26"/>
          <w:szCs w:val="26"/>
        </w:rPr>
        <w:t xml:space="preserve"> . . . . . . . . . . . . . . . . . . . . . . . . . . . . . . . . . . . . . . . . . . . . .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236059">
        <w:rPr>
          <w:rFonts w:ascii="Calibri" w:hAnsi="Calibri" w:cs="Calibri"/>
          <w:color w:val="7F7F7F" w:themeColor="text1" w:themeTint="80"/>
          <w:sz w:val="26"/>
          <w:szCs w:val="26"/>
        </w:rPr>
        <w:t xml:space="preserve"> . </w:t>
      </w:r>
    </w:p>
    <w:p w:rsidR="00345365" w:rsidRPr="00236059" w:rsidRDefault="00345365" w:rsidP="00C46636">
      <w:pPr>
        <w:pStyle w:val="Textoindependiente"/>
        <w:rPr>
          <w:rFonts w:ascii="Calibri" w:hAnsi="Calibri" w:cs="Arial"/>
          <w:color w:val="7F7F7F" w:themeColor="text1" w:themeTint="80"/>
          <w:sz w:val="26"/>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r w:rsidR="00236059">
        <w:rPr>
          <w:rFonts w:ascii="Calibri" w:hAnsi="Calibri" w:cs="Arial"/>
          <w:color w:val="7F7F7F" w:themeColor="text1" w:themeTint="80"/>
          <w:sz w:val="26"/>
          <w:szCs w:val="26"/>
        </w:rPr>
        <w:t xml:space="preserve">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0C6B3D" w:rsidRDefault="004B3DFC" w:rsidP="00236059">
      <w:pPr>
        <w:ind w:firstLine="708"/>
        <w:jc w:val="both"/>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sectPr w:rsidR="000C6B3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5C36" w:rsidRDefault="00E45C36">
      <w:r>
        <w:separator/>
      </w:r>
    </w:p>
  </w:endnote>
  <w:endnote w:type="continuationSeparator" w:id="0">
    <w:p w:rsidR="00E45C36" w:rsidRDefault="00E45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00022FF" w:usb1="C000205B" w:usb2="00000009" w:usb3="00000000" w:csb0="000001D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5C36" w:rsidRDefault="00E45C36">
      <w:r>
        <w:separator/>
      </w:r>
    </w:p>
  </w:footnote>
  <w:footnote w:type="continuationSeparator" w:id="0">
    <w:p w:rsidR="00E45C36" w:rsidRDefault="00E45C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E45C3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D64B6">
      <w:rPr>
        <w:rStyle w:val="Nmerodepgina"/>
        <w:noProof/>
      </w:rPr>
      <w:t>2</w:t>
    </w:r>
    <w:r>
      <w:rPr>
        <w:rStyle w:val="Nmerodepgina"/>
      </w:rPr>
      <w:fldChar w:fldCharType="end"/>
    </w:r>
  </w:p>
  <w:p w:rsidR="00A70119" w:rsidRDefault="00E45C3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74B0E"/>
    <w:rsid w:val="000909AE"/>
    <w:rsid w:val="000954F8"/>
    <w:rsid w:val="000A4ED3"/>
    <w:rsid w:val="000B4397"/>
    <w:rsid w:val="000C6B3D"/>
    <w:rsid w:val="000D6D33"/>
    <w:rsid w:val="000E019D"/>
    <w:rsid w:val="000F12ED"/>
    <w:rsid w:val="00114938"/>
    <w:rsid w:val="00134594"/>
    <w:rsid w:val="00140A1C"/>
    <w:rsid w:val="001731BD"/>
    <w:rsid w:val="0018462E"/>
    <w:rsid w:val="00193C54"/>
    <w:rsid w:val="001C1EB4"/>
    <w:rsid w:val="001E492B"/>
    <w:rsid w:val="00202A4D"/>
    <w:rsid w:val="00231AD0"/>
    <w:rsid w:val="00236059"/>
    <w:rsid w:val="00245DB1"/>
    <w:rsid w:val="00246A6C"/>
    <w:rsid w:val="002802A8"/>
    <w:rsid w:val="0028391D"/>
    <w:rsid w:val="002919BC"/>
    <w:rsid w:val="00295DA4"/>
    <w:rsid w:val="002974BB"/>
    <w:rsid w:val="00343E70"/>
    <w:rsid w:val="0034453B"/>
    <w:rsid w:val="00345365"/>
    <w:rsid w:val="00355D69"/>
    <w:rsid w:val="00363074"/>
    <w:rsid w:val="0038550B"/>
    <w:rsid w:val="003C319B"/>
    <w:rsid w:val="003D0B6B"/>
    <w:rsid w:val="003F0CFE"/>
    <w:rsid w:val="0041005A"/>
    <w:rsid w:val="004328C1"/>
    <w:rsid w:val="00436BB1"/>
    <w:rsid w:val="0047616C"/>
    <w:rsid w:val="0047708E"/>
    <w:rsid w:val="0049794B"/>
    <w:rsid w:val="004A41DC"/>
    <w:rsid w:val="004B3DFC"/>
    <w:rsid w:val="004B6431"/>
    <w:rsid w:val="004C1AE0"/>
    <w:rsid w:val="004C212B"/>
    <w:rsid w:val="004E2B17"/>
    <w:rsid w:val="004F4130"/>
    <w:rsid w:val="00562A66"/>
    <w:rsid w:val="00562F72"/>
    <w:rsid w:val="00577C15"/>
    <w:rsid w:val="005820E3"/>
    <w:rsid w:val="005A1EAD"/>
    <w:rsid w:val="005B3EE0"/>
    <w:rsid w:val="005C1EF8"/>
    <w:rsid w:val="005D15CD"/>
    <w:rsid w:val="006071F6"/>
    <w:rsid w:val="0064042F"/>
    <w:rsid w:val="00644D4B"/>
    <w:rsid w:val="00656D08"/>
    <w:rsid w:val="00684D24"/>
    <w:rsid w:val="00685ED2"/>
    <w:rsid w:val="006B0FF3"/>
    <w:rsid w:val="006D41F4"/>
    <w:rsid w:val="006D6EB6"/>
    <w:rsid w:val="006E1F7A"/>
    <w:rsid w:val="006E5AA9"/>
    <w:rsid w:val="006F3DF8"/>
    <w:rsid w:val="006F63DA"/>
    <w:rsid w:val="006F74D0"/>
    <w:rsid w:val="0070292F"/>
    <w:rsid w:val="00706056"/>
    <w:rsid w:val="00711C4D"/>
    <w:rsid w:val="00726C1E"/>
    <w:rsid w:val="00736742"/>
    <w:rsid w:val="00781737"/>
    <w:rsid w:val="00784CB8"/>
    <w:rsid w:val="007926D3"/>
    <w:rsid w:val="007B3DCF"/>
    <w:rsid w:val="007D6748"/>
    <w:rsid w:val="007D67C9"/>
    <w:rsid w:val="0080464C"/>
    <w:rsid w:val="008063DD"/>
    <w:rsid w:val="00832B72"/>
    <w:rsid w:val="00833B37"/>
    <w:rsid w:val="00834317"/>
    <w:rsid w:val="008403EB"/>
    <w:rsid w:val="00871752"/>
    <w:rsid w:val="00882A95"/>
    <w:rsid w:val="008A53D5"/>
    <w:rsid w:val="008A5D63"/>
    <w:rsid w:val="008B535A"/>
    <w:rsid w:val="008B6F66"/>
    <w:rsid w:val="008C282C"/>
    <w:rsid w:val="008C61C6"/>
    <w:rsid w:val="008E0AB6"/>
    <w:rsid w:val="008F0CF4"/>
    <w:rsid w:val="009003B0"/>
    <w:rsid w:val="00904F40"/>
    <w:rsid w:val="00920B03"/>
    <w:rsid w:val="00925B08"/>
    <w:rsid w:val="00926A0D"/>
    <w:rsid w:val="009429E2"/>
    <w:rsid w:val="009466BA"/>
    <w:rsid w:val="00951162"/>
    <w:rsid w:val="00951532"/>
    <w:rsid w:val="009661F2"/>
    <w:rsid w:val="00981D66"/>
    <w:rsid w:val="0098360E"/>
    <w:rsid w:val="00992C9C"/>
    <w:rsid w:val="009964FC"/>
    <w:rsid w:val="009A23DB"/>
    <w:rsid w:val="009A50BE"/>
    <w:rsid w:val="009A69D8"/>
    <w:rsid w:val="009B4FBA"/>
    <w:rsid w:val="009E10FA"/>
    <w:rsid w:val="009E15DC"/>
    <w:rsid w:val="00A02F6E"/>
    <w:rsid w:val="00A17A21"/>
    <w:rsid w:val="00A217CD"/>
    <w:rsid w:val="00A22410"/>
    <w:rsid w:val="00A2439F"/>
    <w:rsid w:val="00A32EE2"/>
    <w:rsid w:val="00A57007"/>
    <w:rsid w:val="00A8545F"/>
    <w:rsid w:val="00A97819"/>
    <w:rsid w:val="00A97A65"/>
    <w:rsid w:val="00AB7C8F"/>
    <w:rsid w:val="00AC206B"/>
    <w:rsid w:val="00AC308A"/>
    <w:rsid w:val="00AE1A6F"/>
    <w:rsid w:val="00AE3E7D"/>
    <w:rsid w:val="00B05B82"/>
    <w:rsid w:val="00B106D7"/>
    <w:rsid w:val="00B427DE"/>
    <w:rsid w:val="00B562C1"/>
    <w:rsid w:val="00B62D66"/>
    <w:rsid w:val="00B65360"/>
    <w:rsid w:val="00B75A23"/>
    <w:rsid w:val="00B75DD6"/>
    <w:rsid w:val="00B82CC3"/>
    <w:rsid w:val="00BB36E8"/>
    <w:rsid w:val="00BC5DA4"/>
    <w:rsid w:val="00BD6988"/>
    <w:rsid w:val="00BF0BF6"/>
    <w:rsid w:val="00BF6197"/>
    <w:rsid w:val="00C10076"/>
    <w:rsid w:val="00C10164"/>
    <w:rsid w:val="00C22DC8"/>
    <w:rsid w:val="00C464F2"/>
    <w:rsid w:val="00C46636"/>
    <w:rsid w:val="00C56858"/>
    <w:rsid w:val="00C72228"/>
    <w:rsid w:val="00C73B77"/>
    <w:rsid w:val="00CA2C14"/>
    <w:rsid w:val="00CE396D"/>
    <w:rsid w:val="00CF7B38"/>
    <w:rsid w:val="00D1202C"/>
    <w:rsid w:val="00D14E8F"/>
    <w:rsid w:val="00D30188"/>
    <w:rsid w:val="00D4766E"/>
    <w:rsid w:val="00D61484"/>
    <w:rsid w:val="00D77803"/>
    <w:rsid w:val="00D77B11"/>
    <w:rsid w:val="00DB641E"/>
    <w:rsid w:val="00DD64B6"/>
    <w:rsid w:val="00DE0314"/>
    <w:rsid w:val="00DF3DD6"/>
    <w:rsid w:val="00E0072D"/>
    <w:rsid w:val="00E16C1B"/>
    <w:rsid w:val="00E31BEB"/>
    <w:rsid w:val="00E45C36"/>
    <w:rsid w:val="00E50512"/>
    <w:rsid w:val="00E54AA9"/>
    <w:rsid w:val="00E77635"/>
    <w:rsid w:val="00E83986"/>
    <w:rsid w:val="00E950DE"/>
    <w:rsid w:val="00E959B2"/>
    <w:rsid w:val="00EA36B8"/>
    <w:rsid w:val="00EA4780"/>
    <w:rsid w:val="00EC7D6A"/>
    <w:rsid w:val="00EE4879"/>
    <w:rsid w:val="00F52045"/>
    <w:rsid w:val="00F54858"/>
    <w:rsid w:val="00F95EF2"/>
    <w:rsid w:val="00FA04C4"/>
    <w:rsid w:val="00FA5C47"/>
    <w:rsid w:val="00FA79FD"/>
    <w:rsid w:val="00FB227A"/>
    <w:rsid w:val="00FB6D86"/>
    <w:rsid w:val="00FC2718"/>
    <w:rsid w:val="00FC2859"/>
    <w:rsid w:val="00FC6D4E"/>
    <w:rsid w:val="00FD5D57"/>
    <w:rsid w:val="00FE0446"/>
    <w:rsid w:val="00FE6FD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 w:type="paragraph" w:styleId="Textodeglobo">
    <w:name w:val="Balloon Text"/>
    <w:basedOn w:val="Normal"/>
    <w:link w:val="TextodegloboCar"/>
    <w:uiPriority w:val="99"/>
    <w:semiHidden/>
    <w:unhideWhenUsed/>
    <w:rsid w:val="002360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059"/>
    <w:rPr>
      <w:rFonts w:ascii="Segoe UI" w:eastAsia="Times New Roman" w:hAnsi="Segoe UI" w:cs="Segoe UI"/>
      <w:sz w:val="18"/>
      <w:szCs w:val="1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 w:type="paragraph" w:styleId="Textodeglobo">
    <w:name w:val="Balloon Text"/>
    <w:basedOn w:val="Normal"/>
    <w:link w:val="TextodegloboCar"/>
    <w:uiPriority w:val="99"/>
    <w:semiHidden/>
    <w:unhideWhenUsed/>
    <w:rsid w:val="0023605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605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350760592">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495346880">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1135829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4363</Words>
  <Characters>24002</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cp:lastPrinted>2017-03-15T21:03:00Z</cp:lastPrinted>
  <dcterms:created xsi:type="dcterms:W3CDTF">2017-04-28T15:43:00Z</dcterms:created>
  <dcterms:modified xsi:type="dcterms:W3CDTF">2017-04-28T15:43:00Z</dcterms:modified>
</cp:coreProperties>
</file>